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78" w:rsidRDefault="004B1E78" w:rsidP="004B1E7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640062" wp14:editId="6E6F8997">
            <wp:extent cx="49657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78" w:rsidRDefault="004B1E78" w:rsidP="004B1E7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4B1E78" w:rsidRDefault="004B1E78" w:rsidP="004B1E78">
      <w:pPr>
        <w:pStyle w:val="14-15"/>
        <w:ind w:firstLine="0"/>
        <w:jc w:val="center"/>
        <w:rPr>
          <w:b/>
        </w:rPr>
      </w:pPr>
    </w:p>
    <w:p w:rsidR="004B1E78" w:rsidRDefault="004B1E78" w:rsidP="004B1E78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4B1E78" w:rsidRDefault="00E66FE5" w:rsidP="004B1E78">
      <w:pPr>
        <w:pStyle w:val="14-15"/>
        <w:ind w:firstLine="0"/>
        <w:rPr>
          <w:sz w:val="24"/>
          <w:szCs w:val="24"/>
        </w:rPr>
      </w:pPr>
      <w:r>
        <w:t>15</w:t>
      </w:r>
      <w:r w:rsidR="004B1E78">
        <w:t>.</w:t>
      </w:r>
      <w:r>
        <w:t>06.</w:t>
      </w:r>
      <w:r w:rsidR="004B1E78">
        <w:t>2017</w:t>
      </w:r>
      <w:r w:rsidR="004B1E78">
        <w:tab/>
      </w:r>
      <w:r w:rsidR="004B1E78">
        <w:tab/>
      </w:r>
      <w:r w:rsidR="004B1E78">
        <w:rPr>
          <w:sz w:val="24"/>
          <w:szCs w:val="24"/>
        </w:rPr>
        <w:t xml:space="preserve">                                                                                                           48/317           </w:t>
      </w:r>
    </w:p>
    <w:p w:rsidR="004B1E78" w:rsidRDefault="004B1E78" w:rsidP="004B1E78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4A4592" w:rsidRDefault="004A4592" w:rsidP="004A4592">
      <w:pPr>
        <w:jc w:val="center"/>
        <w:rPr>
          <w:b/>
        </w:rPr>
      </w:pPr>
    </w:p>
    <w:p w:rsidR="004A4592" w:rsidRDefault="004A4592" w:rsidP="004A4592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F37E" wp14:editId="6BDCF40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92" w:rsidRDefault="004A4592" w:rsidP="004A45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A4592" w:rsidRDefault="004A4592" w:rsidP="004A45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592" w:rsidRDefault="004A4592" w:rsidP="004A4592">
      <w:pPr>
        <w:tabs>
          <w:tab w:val="left" w:pos="5529"/>
        </w:tabs>
        <w:ind w:right="439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формы уведомления территориальной избирательной комиссии Михайловского  района </w:t>
      </w:r>
    </w:p>
    <w:p w:rsidR="004A4592" w:rsidRDefault="004A4592" w:rsidP="004A4592">
      <w:pPr>
        <w:tabs>
          <w:tab w:val="left" w:pos="5529"/>
        </w:tabs>
        <w:ind w:right="439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финансировании своей избирательной кампании кандидатом при проведении досрочных выборов главы </w:t>
      </w:r>
      <w:proofErr w:type="spellStart"/>
      <w:r>
        <w:rPr>
          <w:bCs/>
          <w:color w:val="000000"/>
          <w:sz w:val="28"/>
          <w:szCs w:val="28"/>
        </w:rPr>
        <w:t>Сунятсенского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4A4592" w:rsidRDefault="004A4592" w:rsidP="004A4592">
      <w:pPr>
        <w:tabs>
          <w:tab w:val="left" w:pos="5954"/>
        </w:tabs>
        <w:ind w:right="3685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назначенных</w:t>
      </w:r>
      <w:proofErr w:type="gramEnd"/>
      <w:r>
        <w:rPr>
          <w:bCs/>
          <w:color w:val="000000"/>
          <w:sz w:val="28"/>
          <w:szCs w:val="28"/>
        </w:rPr>
        <w:t xml:space="preserve"> на 10 сентября  2017 года, </w:t>
      </w:r>
    </w:p>
    <w:p w:rsidR="004A4592" w:rsidRDefault="004A4592" w:rsidP="004A4592">
      <w:pPr>
        <w:tabs>
          <w:tab w:val="left" w:pos="5954"/>
        </w:tabs>
        <w:ind w:right="36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избирательного фонда без открытия специального избирательного счета</w:t>
      </w:r>
    </w:p>
    <w:p w:rsidR="004A4592" w:rsidRDefault="004A4592" w:rsidP="004A4592">
      <w:pPr>
        <w:tabs>
          <w:tab w:val="left" w:pos="5670"/>
        </w:tabs>
        <w:ind w:right="4393"/>
        <w:jc w:val="both"/>
        <w:rPr>
          <w:color w:val="000000"/>
          <w:sz w:val="28"/>
          <w:szCs w:val="28"/>
        </w:rPr>
      </w:pPr>
    </w:p>
    <w:p w:rsidR="004A4592" w:rsidRDefault="004A4592" w:rsidP="004A4592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Руководствуясь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17 статьи 69 Избирательного кодекса Приморского края, территориальная избирательная комиссия  Михайловского района</w:t>
      </w:r>
    </w:p>
    <w:p w:rsidR="004A4592" w:rsidRDefault="004A4592" w:rsidP="004A4592">
      <w:pPr>
        <w:pStyle w:val="21"/>
        <w:spacing w:line="240" w:lineRule="auto"/>
        <w:ind w:firstLine="709"/>
        <w:rPr>
          <w:szCs w:val="28"/>
        </w:rPr>
      </w:pPr>
    </w:p>
    <w:p w:rsidR="004A4592" w:rsidRDefault="004A4592" w:rsidP="004A4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A4592" w:rsidRDefault="004A4592" w:rsidP="004A4592">
      <w:pPr>
        <w:pStyle w:val="a3"/>
        <w:tabs>
          <w:tab w:val="left" w:pos="935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форму уведомления </w:t>
      </w:r>
      <w:r>
        <w:rPr>
          <w:bCs/>
          <w:color w:val="000000"/>
          <w:sz w:val="28"/>
          <w:szCs w:val="28"/>
        </w:rPr>
        <w:t xml:space="preserve">территориальной избирательной комиссии Михайловского района о финансировании своей избирательной кампании кандидатом при проведении досрочных выборов главы </w:t>
      </w:r>
      <w:proofErr w:type="spellStart"/>
      <w:r>
        <w:rPr>
          <w:bCs/>
          <w:color w:val="000000"/>
          <w:sz w:val="28"/>
          <w:szCs w:val="28"/>
        </w:rPr>
        <w:t>Сунятсенского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поселения, назначенных на 10 сентября 2017 года, из избирательного фонда без открытия специального избирательного счета</w:t>
      </w:r>
      <w:r>
        <w:rPr>
          <w:color w:val="000000"/>
          <w:sz w:val="28"/>
          <w:szCs w:val="28"/>
        </w:rPr>
        <w:t xml:space="preserve"> (прилагается).</w:t>
      </w:r>
    </w:p>
    <w:p w:rsidR="004A4592" w:rsidRDefault="004A4592" w:rsidP="004A45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 администрации Михайловского муниципального района в разделе «Территориальная избирательная комиссия Михайловского района» в информационно – коммуникационной сети «Интернет».</w:t>
      </w:r>
    </w:p>
    <w:p w:rsidR="004A4592" w:rsidRDefault="004A4592" w:rsidP="004A4592">
      <w:pPr>
        <w:jc w:val="both"/>
        <w:rPr>
          <w:sz w:val="28"/>
          <w:szCs w:val="28"/>
        </w:rPr>
      </w:pPr>
    </w:p>
    <w:p w:rsidR="004A4592" w:rsidRDefault="004A4592" w:rsidP="004A45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Н.С. Горбачева</w:t>
      </w:r>
    </w:p>
    <w:p w:rsidR="004B1E78" w:rsidRDefault="004B1E78" w:rsidP="004A4592">
      <w:pPr>
        <w:rPr>
          <w:sz w:val="28"/>
          <w:szCs w:val="28"/>
        </w:rPr>
      </w:pPr>
    </w:p>
    <w:p w:rsidR="004A4592" w:rsidRDefault="004A4592" w:rsidP="004A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В.В. Лукашенко </w:t>
      </w:r>
    </w:p>
    <w:p w:rsidR="004A4592" w:rsidRDefault="004A4592" w:rsidP="004A45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592" w:rsidRDefault="004A4592" w:rsidP="004A4592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A4592" w:rsidRDefault="004A4592" w:rsidP="004A4592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 избирательной комиссии Михайловского района</w:t>
      </w:r>
    </w:p>
    <w:p w:rsidR="004A4592" w:rsidRDefault="004A4592" w:rsidP="004A4592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E66FE5">
        <w:rPr>
          <w:sz w:val="24"/>
          <w:szCs w:val="24"/>
        </w:rPr>
        <w:t>15 июня</w:t>
      </w:r>
      <w:r>
        <w:rPr>
          <w:sz w:val="24"/>
          <w:szCs w:val="24"/>
        </w:rPr>
        <w:t xml:space="preserve"> 2017   №</w:t>
      </w:r>
      <w:r w:rsidR="004B1E78">
        <w:rPr>
          <w:sz w:val="24"/>
          <w:szCs w:val="24"/>
        </w:rPr>
        <w:t>48/317</w:t>
      </w:r>
    </w:p>
    <w:p w:rsidR="004A4592" w:rsidRDefault="004A4592" w:rsidP="004A4592">
      <w:pPr>
        <w:rPr>
          <w:sz w:val="24"/>
          <w:szCs w:val="24"/>
        </w:rPr>
      </w:pPr>
    </w:p>
    <w:p w:rsidR="004A4592" w:rsidRDefault="004A4592" w:rsidP="004A4592">
      <w:pPr>
        <w:jc w:val="both"/>
        <w:rPr>
          <w:sz w:val="28"/>
          <w:szCs w:val="28"/>
        </w:rPr>
      </w:pPr>
    </w:p>
    <w:p w:rsidR="004A4592" w:rsidRDefault="004A4592" w:rsidP="004A459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территориальную избирательную</w:t>
      </w:r>
    </w:p>
    <w:p w:rsidR="004A4592" w:rsidRDefault="004A4592" w:rsidP="004A459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комиссию Михайловского района</w:t>
      </w:r>
    </w:p>
    <w:p w:rsidR="004A4592" w:rsidRDefault="004A4592" w:rsidP="004A459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кандидата  на должность главы </w:t>
      </w:r>
      <w:proofErr w:type="spellStart"/>
      <w:r>
        <w:rPr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4592" w:rsidRDefault="004A4592" w:rsidP="004A459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______________________________, </w:t>
      </w:r>
    </w:p>
    <w:p w:rsidR="004A4592" w:rsidRDefault="004A4592" w:rsidP="004A4592">
      <w:pPr>
        <w:jc w:val="righ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в родительном падеже)</w:t>
      </w:r>
    </w:p>
    <w:p w:rsidR="004A4592" w:rsidRDefault="004A4592" w:rsidP="004A4592">
      <w:pPr>
        <w:ind w:left="4962"/>
        <w:jc w:val="right"/>
        <w:rPr>
          <w:sz w:val="28"/>
          <w:szCs w:val="28"/>
        </w:rPr>
      </w:pPr>
    </w:p>
    <w:p w:rsidR="004A4592" w:rsidRDefault="004A4592" w:rsidP="004A4592">
      <w:pPr>
        <w:jc w:val="both"/>
        <w:rPr>
          <w:sz w:val="28"/>
          <w:szCs w:val="28"/>
        </w:rPr>
      </w:pPr>
    </w:p>
    <w:p w:rsidR="004A4592" w:rsidRDefault="004A4592" w:rsidP="004A4592">
      <w:pPr>
        <w:jc w:val="both"/>
        <w:rPr>
          <w:sz w:val="28"/>
          <w:szCs w:val="28"/>
        </w:rPr>
      </w:pPr>
    </w:p>
    <w:p w:rsidR="004A4592" w:rsidRDefault="004A4592" w:rsidP="004A4592">
      <w:pPr>
        <w:jc w:val="both"/>
        <w:rPr>
          <w:sz w:val="28"/>
          <w:szCs w:val="28"/>
        </w:rPr>
      </w:pPr>
    </w:p>
    <w:p w:rsidR="004A4592" w:rsidRDefault="004A4592" w:rsidP="004A459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A4592" w:rsidRDefault="004A4592" w:rsidP="004A4592">
      <w:pPr>
        <w:rPr>
          <w:sz w:val="28"/>
          <w:szCs w:val="28"/>
        </w:rPr>
      </w:pPr>
    </w:p>
    <w:p w:rsidR="004A4592" w:rsidRDefault="004A4592" w:rsidP="004A4592">
      <w:pPr>
        <w:widowControl w:val="0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17 статьи 69 Избирательного кодекса Приморского края уведомляю о том, что на досрочных выборах главы </w:t>
      </w:r>
      <w:proofErr w:type="spellStart"/>
      <w:r>
        <w:rPr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 поселения, назначенных на 10 сентября  2017 года, расходы на финансирование моей избирательной кампании  будут производиться за счет</w:t>
      </w:r>
      <w:proofErr w:type="gramEnd"/>
      <w:r>
        <w:rPr>
          <w:sz w:val="28"/>
          <w:szCs w:val="28"/>
        </w:rPr>
        <w:t xml:space="preserve"> собственных средств из созданного избирательного фонда без открытия специального избирательного счета.</w:t>
      </w:r>
      <w:r>
        <w:rPr>
          <w:b/>
          <w:sz w:val="28"/>
          <w:szCs w:val="28"/>
        </w:rPr>
        <w:t xml:space="preserve"> </w:t>
      </w:r>
    </w:p>
    <w:p w:rsidR="004A4592" w:rsidRDefault="004A4592" w:rsidP="004A4592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моей избирательной кампании не превысят 5 000 (пять тысяч) рублей.</w:t>
      </w:r>
    </w:p>
    <w:p w:rsidR="004A4592" w:rsidRDefault="004A4592" w:rsidP="004A4592">
      <w:pPr>
        <w:spacing w:line="360" w:lineRule="auto"/>
        <w:jc w:val="both"/>
        <w:rPr>
          <w:sz w:val="28"/>
          <w:szCs w:val="28"/>
        </w:rPr>
      </w:pPr>
    </w:p>
    <w:p w:rsidR="004A4592" w:rsidRDefault="004A4592" w:rsidP="004A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__________________ </w:t>
      </w:r>
    </w:p>
    <w:p w:rsidR="004A4592" w:rsidRDefault="004A4592" w:rsidP="004A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4A4592" w:rsidRDefault="004A4592" w:rsidP="004A4592"/>
    <w:p w:rsidR="000A4BE2" w:rsidRDefault="000A4BE2"/>
    <w:sectPr w:rsidR="000A4BE2" w:rsidSect="004B1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92"/>
    <w:rsid w:val="000A4BE2"/>
    <w:rsid w:val="004A4592"/>
    <w:rsid w:val="004B1E78"/>
    <w:rsid w:val="00E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592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4A4592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customStyle="1" w:styleId="14-15">
    <w:name w:val="текст14-15"/>
    <w:basedOn w:val="a"/>
    <w:rsid w:val="004B1E78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7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592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4A4592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customStyle="1" w:styleId="14-15">
    <w:name w:val="текст14-15"/>
    <w:basedOn w:val="a"/>
    <w:rsid w:val="004B1E78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Company>ТИК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2017-06-15T06:02:00Z</cp:lastPrinted>
  <dcterms:created xsi:type="dcterms:W3CDTF">2017-05-10T23:24:00Z</dcterms:created>
  <dcterms:modified xsi:type="dcterms:W3CDTF">2017-06-15T06:03:00Z</dcterms:modified>
</cp:coreProperties>
</file>